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E1827">
      <w:pPr>
        <w:pStyle w:val="3"/>
        <w:keepNext w:val="0"/>
        <w:keepLines w:val="0"/>
        <w:widowControl/>
        <w:suppressLineNumbers w:val="0"/>
        <w:spacing w:before="180" w:beforeAutospacing="0" w:after="180" w:afterAutospacing="0" w:line="432" w:lineRule="atLeast"/>
        <w:ind w:left="0" w:right="0"/>
        <w:jc w:val="center"/>
        <w:rPr>
          <w:rFonts w:hint="eastAsia" w:ascii="宋体" w:hAnsi="宋体" w:eastAsia="宋体" w:cstheme="majorBidi"/>
          <w:b/>
          <w:bCs/>
          <w:kern w:val="2"/>
          <w:sz w:val="36"/>
          <w:szCs w:val="36"/>
          <w:lang w:val="en-US" w:eastAsia="zh-CN" w:bidi="ar-SA"/>
        </w:rPr>
      </w:pPr>
      <w:r>
        <w:rPr>
          <w:rFonts w:hint="eastAsia" w:ascii="宋体" w:hAnsi="宋体" w:eastAsia="宋体" w:cstheme="majorBidi"/>
          <w:b/>
          <w:bCs/>
          <w:kern w:val="2"/>
          <w:sz w:val="36"/>
          <w:szCs w:val="36"/>
          <w:lang w:val="en-US" w:eastAsia="zh-CN" w:bidi="ar-SA"/>
        </w:rPr>
        <w:t>江西泰豪教育基金会</w:t>
      </w:r>
      <w:r>
        <w:rPr>
          <w:rFonts w:hint="eastAsia" w:ascii="宋体" w:hAnsi="宋体" w:eastAsia="宋体" w:cstheme="majorBidi"/>
          <w:b/>
          <w:bCs/>
          <w:kern w:val="2"/>
          <w:sz w:val="36"/>
          <w:szCs w:val="36"/>
          <w:lang w:val="en-US" w:eastAsia="zh-CN" w:bidi="ar-SA"/>
        </w:rPr>
        <w:t>监督管理制度</w:t>
      </w:r>
    </w:p>
    <w:p w14:paraId="6544C1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为加强江西泰豪教育基金会（以下简称“基金会”）财务管理，强化财务监督，依据《基金会管理条例》，结合基金会实际情况，特制订本制度。</w:t>
      </w:r>
    </w:p>
    <w:p w14:paraId="4F4A32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第一条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基金会财务监督主要包括对预算管理、收入管理、支出管理、资产管理等的监督。</w:t>
      </w:r>
    </w:p>
    <w:p w14:paraId="2B30C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bookmarkStart w:id="0" w:name="_GoBack"/>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第二条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财务监督检查的原则是：外部监督与内部检查相结合；账务检查、实</w:t>
      </w:r>
      <w:bookmarkEnd w:id="0"/>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物检查和现场检查相结合；实行事前、事中、事后全过程监督。</w:t>
      </w:r>
    </w:p>
    <w:p w14:paraId="51D31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第三条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财务监督检查工作职责：</w:t>
      </w:r>
    </w:p>
    <w:p w14:paraId="78C3B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（一）自觉接受国家审计署、民政部、税收等监管部门的监督，接受上级主管单位审计与监督。</w:t>
      </w:r>
    </w:p>
    <w:p w14:paraId="4DE11E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（二）财务监督检查机制，建立、健全内部财务管理制度。</w:t>
      </w:r>
    </w:p>
    <w:p w14:paraId="1AADC2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（三）财务、项目部在日常工作中加强财务、项目监管自查工作，自觉接受监管部门监督检查工作。</w:t>
      </w:r>
    </w:p>
    <w:p w14:paraId="426DF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（四）自觉接受社会监督，每年要聘请会计师事务所对基金会年度财务审计，并在相关的网站披露财务信息。</w:t>
      </w:r>
    </w:p>
    <w:p w14:paraId="76FFE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第四条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预算管理监督：基金会每年按时编制财务预算方案，财务预算经理事会审议批准后执行。基金会</w:t>
      </w:r>
      <w:r>
        <w:rPr>
          <w:rFonts w:hint="eastAsia" w:asciiTheme="minorEastAsia" w:hAnsiTheme="minorEastAsia" w:eastAsiaTheme="minorEastAsia" w:cstheme="minorEastAsia"/>
          <w:i w:val="0"/>
          <w:iCs w:val="0"/>
          <w:caps w:val="0"/>
          <w:color w:val="444444"/>
          <w:spacing w:val="0"/>
          <w:sz w:val="24"/>
          <w:szCs w:val="24"/>
          <w:shd w:val="clear" w:fill="FFFFFF"/>
        </w:rPr>
        <w:t>财务</w:t>
      </w:r>
      <w:r>
        <w:rPr>
          <w:rFonts w:hint="eastAsia" w:asciiTheme="minorEastAsia" w:hAnsiTheme="minorEastAsia" w:cstheme="minorEastAsia"/>
          <w:i w:val="0"/>
          <w:iCs w:val="0"/>
          <w:caps w:val="0"/>
          <w:color w:val="444444"/>
          <w:spacing w:val="0"/>
          <w:sz w:val="24"/>
          <w:szCs w:val="24"/>
          <w:shd w:val="clear" w:fill="FFFFFF"/>
          <w:lang w:val="en-US" w:eastAsia="zh-CN"/>
        </w:rPr>
        <w:t>管理</w:t>
      </w:r>
      <w:r>
        <w:rPr>
          <w:rFonts w:hint="eastAsia" w:asciiTheme="minorEastAsia" w:hAnsiTheme="minorEastAsia" w:eastAsiaTheme="minorEastAsia" w:cstheme="minorEastAsia"/>
          <w:i w:val="0"/>
          <w:iCs w:val="0"/>
          <w:caps w:val="0"/>
          <w:color w:val="444444"/>
          <w:spacing w:val="0"/>
          <w:sz w:val="24"/>
          <w:szCs w:val="24"/>
          <w:shd w:val="clear" w:fill="FFFFFF"/>
        </w:rPr>
        <w:t>部</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监督项目预算执行情况，定期分析项目预算执行进度，针对执行过程中存在的问题，提出改进意见，并将年度预算执行结果向理事会报告。</w:t>
      </w:r>
    </w:p>
    <w:p w14:paraId="632D4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第五条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收入管理监督：基金会遵守法律法规，严格按照国家有关政策规定组织收入。收入必须符合章程规定的宗旨和公益活动的业务范围，使用符合国家规定的票据。基金会根据各项收入用途严格划分为限定性收入和非限定性收入，各项收入全额进入基金会账户，由</w:t>
      </w:r>
      <w:r>
        <w:rPr>
          <w:rFonts w:hint="eastAsia" w:asciiTheme="minorEastAsia" w:hAnsiTheme="minorEastAsia" w:eastAsiaTheme="minorEastAsia" w:cstheme="minorEastAsia"/>
          <w:i w:val="0"/>
          <w:iCs w:val="0"/>
          <w:caps w:val="0"/>
          <w:color w:val="444444"/>
          <w:spacing w:val="0"/>
          <w:sz w:val="24"/>
          <w:szCs w:val="24"/>
          <w:shd w:val="clear" w:fill="FFFFFF"/>
        </w:rPr>
        <w:t>财务</w:t>
      </w:r>
      <w:r>
        <w:rPr>
          <w:rFonts w:hint="eastAsia" w:asciiTheme="minorEastAsia" w:hAnsiTheme="minorEastAsia" w:cstheme="minorEastAsia"/>
          <w:i w:val="0"/>
          <w:iCs w:val="0"/>
          <w:caps w:val="0"/>
          <w:color w:val="444444"/>
          <w:spacing w:val="0"/>
          <w:sz w:val="24"/>
          <w:szCs w:val="24"/>
          <w:shd w:val="clear" w:fill="FFFFFF"/>
          <w:lang w:val="en-US" w:eastAsia="zh-CN"/>
        </w:rPr>
        <w:t>管理</w:t>
      </w:r>
      <w:r>
        <w:rPr>
          <w:rFonts w:hint="eastAsia" w:asciiTheme="minorEastAsia" w:hAnsiTheme="minorEastAsia" w:eastAsiaTheme="minorEastAsia" w:cstheme="minorEastAsia"/>
          <w:i w:val="0"/>
          <w:iCs w:val="0"/>
          <w:caps w:val="0"/>
          <w:color w:val="444444"/>
          <w:spacing w:val="0"/>
          <w:sz w:val="24"/>
          <w:szCs w:val="24"/>
          <w:shd w:val="clear" w:fill="FFFFFF"/>
        </w:rPr>
        <w:t>部</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统一管理、统一核算。捐赠方有权向基金会查询捐赠财产的使用、管理情况，并提出意见和建议。对于捐赠人的查询，基金会应当及时如实答复。</w:t>
      </w:r>
    </w:p>
    <w:p w14:paraId="40AEA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第六条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支出管理监督：基金会根据章程规定的宗旨和公益活动的业务范围使用资产。财务</w:t>
      </w:r>
      <w:r>
        <w:rPr>
          <w:rFonts w:hint="eastAsia" w:asciiTheme="minorEastAsia" w:hAnsiTheme="minorEastAsia" w:cstheme="minorEastAsia"/>
          <w:i w:val="0"/>
          <w:iCs w:val="0"/>
          <w:caps w:val="0"/>
          <w:color w:val="444444"/>
          <w:spacing w:val="0"/>
          <w:sz w:val="24"/>
          <w:szCs w:val="24"/>
          <w:bdr w:val="none" w:color="auto" w:sz="0" w:space="0"/>
          <w:shd w:val="clear" w:fill="FFFFFF"/>
          <w:lang w:val="en-US" w:eastAsia="zh-CN"/>
        </w:rPr>
        <w:t>管理</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部要认真审查每笔费用的开支是否真实、合法、合规。加强成本核算，严格控制各项开支，认真审查支出的内容和金额，不得伪造、变造借款报销凭证，序列支出等。保证业务资料合法、真实、及时、准确、完整。</w:t>
      </w:r>
    </w:p>
    <w:p w14:paraId="67979C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第七条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资产管理监督：资金的使用必须严格按照基金会业务范围和人民银行的相关规定执行。基金会的财产及收入受法律保护，任何单位、个人不得侵占、私分、挪用。</w:t>
      </w:r>
    </w:p>
    <w:p w14:paraId="2FE98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（一）现金管理：加强现金收支、现金安全管理。超库存现金应及时存入银行；严格执行收支两条线原则；严禁白条抵库和任意挪用现金。</w:t>
      </w:r>
    </w:p>
    <w:p w14:paraId="66526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（二）应收款管理：准确掌握应收款数额以及资金回笼情况，并及时加以清理。对长期未收回的应收款，应分析原因，制定措施，加大催收力度。</w:t>
      </w:r>
    </w:p>
    <w:p w14:paraId="79EE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（三）人员调动或离职时，应监督其财务款项和固定资产的回收及移交。移交人、接收人、监交人均应签字。</w:t>
      </w:r>
    </w:p>
    <w:p w14:paraId="454F4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第八条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基金会按照《基金会管理条例》规定，接受登记管理机关组织的年度检查。</w:t>
      </w:r>
    </w:p>
    <w:p w14:paraId="19564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第九条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基金会通过登记管理机关的年度检查后，将年度工作报告在登记管理机关指定的媒体上公布，接受社会公众的查询、监督。</w:t>
      </w:r>
    </w:p>
    <w:p w14:paraId="0140C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第十条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基金会接受税务、会计主管部门的监督。</w:t>
      </w:r>
    </w:p>
    <w:p w14:paraId="4175EC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第十一条 </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基金会每年接受会计师事务所对基金会账务进行审计，并在登记管理机关指定的媒体上公布基金会的财务报表，接受社会监督。</w:t>
      </w:r>
    </w:p>
    <w:p w14:paraId="2C6C5C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tLeast"/>
        <w:ind w:left="0" w:right="0"/>
        <w:jc w:val="left"/>
        <w:textAlignment w:val="auto"/>
        <w:rPr>
          <w:rFonts w:hint="eastAsia" w:asciiTheme="minorEastAsia" w:hAnsiTheme="minorEastAsia" w:eastAsiaTheme="minorEastAsia" w:cstheme="minorEastAsia"/>
        </w:rPr>
      </w:pPr>
      <w:r>
        <w:rPr>
          <w:rStyle w:val="6"/>
          <w:rFonts w:hint="eastAsia" w:asciiTheme="minorEastAsia" w:hAnsiTheme="minorEastAsia" w:eastAsiaTheme="minorEastAsia" w:cstheme="minorEastAsia"/>
          <w:b/>
          <w:bCs/>
          <w:i w:val="0"/>
          <w:iCs w:val="0"/>
          <w:caps w:val="0"/>
          <w:color w:val="444444"/>
          <w:spacing w:val="0"/>
          <w:sz w:val="24"/>
          <w:szCs w:val="24"/>
          <w:bdr w:val="none" w:color="auto" w:sz="0" w:space="0"/>
          <w:shd w:val="clear" w:fill="FFFFFF"/>
        </w:rPr>
        <w:t>第十二条</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 本制度经202</w:t>
      </w:r>
      <w:r>
        <w:rPr>
          <w:rFonts w:hint="eastAsia" w:asciiTheme="minorEastAsia" w:hAnsiTheme="minorEastAsia" w:cstheme="minorEastAsia"/>
          <w:i w:val="0"/>
          <w:iCs w:val="0"/>
          <w:caps w:val="0"/>
          <w:color w:val="444444"/>
          <w:spacing w:val="0"/>
          <w:sz w:val="24"/>
          <w:szCs w:val="24"/>
          <w:bdr w:val="none" w:color="auto" w:sz="0" w:space="0"/>
          <w:shd w:val="clear" w:fill="FFFFFF"/>
          <w:lang w:val="en-US" w:eastAsia="zh-CN"/>
        </w:rPr>
        <w:t>4</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年</w:t>
      </w:r>
      <w:r>
        <w:rPr>
          <w:rFonts w:hint="eastAsia" w:asciiTheme="minorEastAsia" w:hAnsiTheme="minorEastAsia" w:cstheme="minorEastAsia"/>
          <w:i w:val="0"/>
          <w:iCs w:val="0"/>
          <w:caps w:val="0"/>
          <w:color w:val="444444"/>
          <w:spacing w:val="0"/>
          <w:sz w:val="24"/>
          <w:szCs w:val="24"/>
          <w:bdr w:val="none" w:color="auto" w:sz="0" w:space="0"/>
          <w:shd w:val="clear" w:fill="FFFFFF"/>
          <w:lang w:val="en-US" w:eastAsia="zh-CN"/>
        </w:rPr>
        <w:t>1</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月</w:t>
      </w:r>
      <w:r>
        <w:rPr>
          <w:rFonts w:hint="eastAsia" w:asciiTheme="minorEastAsia" w:hAnsiTheme="minorEastAsia" w:cstheme="minorEastAsia"/>
          <w:i w:val="0"/>
          <w:iCs w:val="0"/>
          <w:caps w:val="0"/>
          <w:color w:val="444444"/>
          <w:spacing w:val="0"/>
          <w:sz w:val="24"/>
          <w:szCs w:val="24"/>
          <w:bdr w:val="none" w:color="auto" w:sz="0" w:space="0"/>
          <w:shd w:val="clear" w:fill="FFFFFF"/>
          <w:lang w:val="en-US" w:eastAsia="zh-CN"/>
        </w:rPr>
        <w:t>6</w:t>
      </w:r>
      <w:r>
        <w:rPr>
          <w:rFonts w:hint="eastAsia" w:asciiTheme="minorEastAsia" w:hAnsiTheme="minorEastAsia" w:eastAsiaTheme="minorEastAsia" w:cstheme="minorEastAsia"/>
          <w:i w:val="0"/>
          <w:iCs w:val="0"/>
          <w:caps w:val="0"/>
          <w:color w:val="444444"/>
          <w:spacing w:val="0"/>
          <w:sz w:val="24"/>
          <w:szCs w:val="24"/>
          <w:bdr w:val="none" w:color="auto" w:sz="0" w:space="0"/>
          <w:shd w:val="clear" w:fill="FFFFFF"/>
        </w:rPr>
        <w:t>日理事会会议审议通过，自通过之日起施行。</w:t>
      </w: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基金会理事会</w:t>
      </w:r>
      <w:r>
        <w:rPr>
          <w:rFonts w:hint="eastAsia" w:ascii="宋体" w:hAnsi="宋体" w:eastAsia="宋体" w:cs="宋体"/>
          <w:color w:val="auto"/>
          <w:sz w:val="24"/>
          <w:szCs w:val="24"/>
        </w:rPr>
        <w:t>负责解释。</w:t>
      </w:r>
    </w:p>
    <w:p w14:paraId="42D49BA6">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D0DC9"/>
    <w:rsid w:val="3BBA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2025-05-28T01:58:21Z</dcterms:created>
  <dc:creator>lihuilin</dc:creator>
  <cp:lastModifiedBy>慧~~『琳』</cp:lastModifiedBy>
  <dcterms:modified xsi:type="dcterms:W3CDTF">2025-05-28T02:12:33Z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eyJoZGlkIjoiYWJmNTAxYTA0NTllZTU0OWY5NWY0MWNlMzBjNGU2OTYiLCJ1c2VySWQiOiI0MTQ4MDM0MDQifQ==</vt:lpwstr>
  </property>
  <property fmtid="{D5CDD505-2E9C-101B-9397-08002B2CF9AE}" pid="4" name="ICV">
    <vt:lpwstr>59BCC6939A9D4B5BBB7AF3EB1E5FED7A_12</vt:lpwstr>
  </property>
</Properties>
</file>